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1341"/>
        <w:gridCol w:w="8679"/>
        <w:gridCol w:w="279"/>
      </w:tblGrid>
      <w:tr w:rsidR="00C04324" w:rsidRPr="00C04324" w:rsidTr="00AE2E87">
        <w:trPr>
          <w:gridAfter w:val="1"/>
          <w:wAfter w:w="312" w:type="dxa"/>
          <w:trHeight w:val="450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br/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submitted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output</w:t>
            </w:r>
            <w:proofErr w:type="spellEnd"/>
          </w:p>
        </w:tc>
      </w:tr>
      <w:tr w:rsidR="00C04324" w:rsidRPr="00C04324" w:rsidTr="00AE2E87">
        <w:trPr>
          <w:trHeight w:val="450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D51" w:rsidRPr="00C04324" w:rsidRDefault="00E23D51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6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375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Tlačivo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VTC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slúži na predkladanie výstupov tvorivej činnosti podľa metodiky hodnotenia tvorivých činností (časť V. Metodiky na vyhodnocovanie štandardov)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form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used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submit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according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Standards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375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9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: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53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1627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begin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separate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Kód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VTC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Code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RAOO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):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vertAlign w:val="superscript"/>
                <w:lang w:eastAsia="sk-SK"/>
              </w:rPr>
              <w:t>1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4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5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0" w:anchor="'poznamky_explanatory notes'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OCA1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Priezvisko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proofErr w:type="spellStart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Oláh</w:t>
            </w:r>
            <w:proofErr w:type="spellEnd"/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3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1" w:anchor="'poznamky_explanatory notes'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OCA2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Meno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Michal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559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2" w:anchor="'poznamky_explanatory notes'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OCA3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Tituly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 xml:space="preserve">prof. </w:t>
            </w:r>
            <w:proofErr w:type="spellStart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PhDr</w:t>
            </w:r>
            <w:proofErr w:type="spellEnd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3" w:anchor="'poznamky_explanatory notes'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OCA4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C04324" w:rsidRDefault="00E02A12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https://www.portalvs.sk/regzam/detail/8099?do=filterForm-submit&amp;name=Michal&amp;surname=Ol%C3%A1h&amp;sort=surname&amp;employment_state=yes&amp;filter=Vyh%C4%BEada%C5%A5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30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4" w:anchor="'poznamky_explanatory notes'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OCA5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Oblasť posudzovania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C04324" w:rsidRDefault="00E02A12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Sociálna práca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972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5" w:anchor="Expl.OCA6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Kategória výstupu tvorivej činnosti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 možností (pozri Vysvetlivky k položke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C04324" w:rsidRDefault="00092CD9" w:rsidP="00C04324">
            <w:pPr>
              <w:pStyle w:val="Normln1"/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</w:pPr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pedagogický výstup / </w:t>
            </w:r>
            <w:proofErr w:type="spellStart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>pedagogical</w:t>
            </w:r>
            <w:proofErr w:type="spellEnd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>output</w:t>
            </w:r>
            <w:proofErr w:type="spellEnd"/>
          </w:p>
          <w:p w:rsidR="00092CD9" w:rsidRPr="00C04324" w:rsidRDefault="00092CD9" w:rsidP="00C04324">
            <w:pPr>
              <w:pStyle w:val="Normln1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:rsidR="00E23D51" w:rsidRDefault="000B2881" w:rsidP="000B2881">
            <w:pPr>
              <w:pStyle w:val="Normln1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Oláh, Michal a kol.</w:t>
            </w:r>
            <w:r w:rsidR="007224A1"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; Sociálna práca v praxi.  Najčastejšie problémy praktickej sociálnej práce. 1. vyd. – Bratislava (Slovensko) : IRIS - Vydavateľstvo a tlač, 2016. 398 s. ISBN 978-80-89726-58</w:t>
            </w:r>
          </w:p>
          <w:p w:rsidR="00272C98" w:rsidRDefault="00272C98" w:rsidP="000B2881">
            <w:pPr>
              <w:pStyle w:val="Normln1"/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:rsidR="00272C98" w:rsidRPr="00C04324" w:rsidRDefault="00272C98" w:rsidP="000B2881">
            <w:pPr>
              <w:pStyle w:val="Normln1"/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Oláh, Michal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et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al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;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practice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. 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 most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frequent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problems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practical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1st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ed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. - Bratislava (Slovakia) : IRIS -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Publishing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Printing</w:t>
            </w:r>
            <w:proofErr w:type="spellEnd"/>
            <w:r w:rsidRPr="00272C98"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  <w:t>, 2016. 398 s. ISBN 978-80-89726-58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5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OCA7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Rok vydania výstupu tvorivej činnosti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Year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7224A1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2016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6" w:anchor="'poznamky_explanatory notes'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OCA8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ID záznamu v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(ak je)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) or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)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292247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494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7" w:anchor="'poznamky_explanatory notes'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OCA9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or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https://app.crepc.sk/?fn=detailBiblioFormChildQ764G&amp;sid=1F40ADFE68C0FD219F6419EA0B&amp;seo=CREP%C4%8C-detail-kniha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1065"/>
        </w:trPr>
        <w:tc>
          <w:tcPr>
            <w:tcW w:w="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lastRenderedPageBreak/>
              <w:t xml:space="preserve">Charakteristika výstupu, ktorý nie je registrovaný v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CREPČ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alebo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CREUČ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registered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CRPA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CRAA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8" w:anchor="'poznamky_explanatory notes'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OCA10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0D7327" w:rsidP="000D7327">
            <w:pPr>
              <w:spacing w:after="0" w:line="240" w:lineRule="auto"/>
              <w:ind w:left="161" w:hangingChars="100" w:hanging="161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proofErr w:type="spellStart"/>
            <w:r w:rsidRPr="000D7327"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val="en-US" w:eastAsia="sk-SK"/>
              </w:rPr>
              <w:t>Štátna</w:t>
            </w:r>
            <w:proofErr w:type="spellEnd"/>
            <w:r w:rsidRPr="000D7327"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0D7327"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val="en-US" w:eastAsia="sk-SK"/>
              </w:rPr>
              <w:t>vedecká</w:t>
            </w:r>
            <w:proofErr w:type="spellEnd"/>
            <w:r w:rsidRPr="000D7327"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0D7327"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val="en-US" w:eastAsia="sk-SK"/>
              </w:rPr>
              <w:t>knižnica</w:t>
            </w:r>
            <w:proofErr w:type="spellEnd"/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 xml:space="preserve">: </w:t>
            </w:r>
            <w:hyperlink r:id="rId19" w:history="1">
              <w:r w:rsidRPr="00002A26">
                <w:rPr>
                  <w:rStyle w:val="Hypertextovprepojenie"/>
                  <w:rFonts w:eastAsia="Times New Roman" w:cstheme="minorHAnsi"/>
                  <w:sz w:val="16"/>
                  <w:szCs w:val="16"/>
                  <w:lang w:val="en-US" w:eastAsia="sk-SK"/>
                </w:rPr>
                <w:t>https://sclib.svkk.sk/sck01/Record/000530505</w:t>
              </w:r>
            </w:hyperlink>
          </w:p>
          <w:p w:rsidR="000D7327" w:rsidRDefault="000D7327" w:rsidP="00C04324">
            <w:pPr>
              <w:spacing w:after="0" w:line="240" w:lineRule="auto"/>
              <w:ind w:left="160" w:hangingChars="100" w:hanging="160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  <w:p w:rsidR="000D7327" w:rsidRDefault="000D7327" w:rsidP="000D7327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sz w:val="16"/>
                <w:szCs w:val="16"/>
                <w:lang w:val="en-US" w:eastAsia="sk-SK"/>
              </w:rPr>
              <w:t>ORCID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: </w:t>
            </w:r>
            <w:hyperlink r:id="rId20" w:history="1">
              <w:r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https://orcid.org/</w:t>
              </w:r>
              <w:r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0000-0002-7245-5843</w:t>
              </w:r>
            </w:hyperlink>
          </w:p>
          <w:p w:rsidR="000D7327" w:rsidRDefault="000D7327" w:rsidP="000D7327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WoS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hyperlink r:id="rId21" w:history="1">
              <w:r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https://publons.com/researcher/1810998/michal-olah/</w:t>
              </w:r>
            </w:hyperlink>
          </w:p>
          <w:p w:rsidR="000D7327" w:rsidRDefault="000D7327" w:rsidP="000D7327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SCOPUS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hyperlink r:id="rId22" w:history="1">
              <w:r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https://www.scopus.com/authid/detail.uri?authorId=57203766220</w:t>
              </w:r>
            </w:hyperlink>
          </w:p>
          <w:p w:rsidR="000D7327" w:rsidRDefault="000D7327" w:rsidP="000D7327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Google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Scholar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hyperlink r:id="rId23" w:history="1">
              <w:r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https://scholar.google.com/citations?hl=sk&amp;view_op=list_works&amp;gmla=AJsN-F7hLrLDr58gFRGqgTejXh0IE1ME4Moa9hI8om4wrjpmXtwic8zHOKYiejkBwTFG2T9pkgYdpFOGiVoisdo1goFS0yzSH1Pln3JfdBfFYAODzQUCJJ1adTmrPB-gQWjVqg8kDqk0&amp;user=KeyQu4QAAAAJ</w:t>
              </w:r>
            </w:hyperlink>
          </w:p>
          <w:p w:rsidR="000D7327" w:rsidRPr="00C04324" w:rsidRDefault="000D7327" w:rsidP="00683689">
            <w:pPr>
              <w:spacing w:after="0" w:line="240" w:lineRule="auto"/>
              <w:ind w:left="165" w:hangingChars="100" w:hanging="165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hAnsi="Calibri" w:cs="Calibri"/>
                <w:b/>
                <w:spacing w:val="4"/>
                <w:sz w:val="16"/>
                <w:szCs w:val="16"/>
                <w:shd w:val="clear" w:color="auto" w:fill="FFFFFF"/>
              </w:rPr>
              <w:t>Sci</w:t>
            </w:r>
            <w:r w:rsidR="00683689">
              <w:rPr>
                <w:rFonts w:ascii="Calibri" w:hAnsi="Calibri" w:cs="Calibri"/>
                <w:b/>
                <w:spacing w:val="4"/>
                <w:sz w:val="16"/>
                <w:szCs w:val="16"/>
                <w:shd w:val="clear" w:color="auto" w:fill="FFFFFF"/>
              </w:rPr>
              <w:t>P</w:t>
            </w:r>
            <w:r>
              <w:rPr>
                <w:rFonts w:ascii="Calibri" w:hAnsi="Calibri" w:cs="Calibri"/>
                <w:b/>
                <w:spacing w:val="4"/>
                <w:sz w:val="16"/>
                <w:szCs w:val="16"/>
                <w:shd w:val="clear" w:color="auto" w:fill="FFFFFF"/>
              </w:rPr>
              <w:t>rofiles</w:t>
            </w:r>
            <w:proofErr w:type="spellEnd"/>
            <w:r>
              <w:rPr>
                <w:rFonts w:ascii="Calibri" w:hAnsi="Calibri" w:cs="Calibri"/>
                <w:spacing w:val="4"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hyperlink r:id="rId24" w:history="1">
              <w:r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val="en-US" w:eastAsia="sk-SK"/>
                </w:rPr>
                <w:t>https://sciprofiles.com/profile/MichalOlah1</w:t>
              </w:r>
            </w:hyperlink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151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OCA11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Charakteristika výstupu vo formáte bibliografického záznamu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CREPČ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alebo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CREUČ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ak výstup nie je vo verejne prístupnom registri alebo katalógu výstupov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format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CRPA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CRAA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bibliographic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record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publicly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accessible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catalogue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683689" w:rsidP="00683689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Oláh, Michal a kol.</w:t>
            </w:r>
            <w:r w:rsidR="007224A1" w:rsidRPr="00C04324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; Sociálna práca v praxi.  Najčastejšie problémy praktickej sociálnej práce. 1. vyd. – Bratislava (Slovensko) : IRIS - Vydavateľstvo a tlač, 2016. 398 s. ISBN 978-80-89726-58</w:t>
            </w:r>
          </w:p>
          <w:p w:rsidR="00272C98" w:rsidRDefault="00272C98" w:rsidP="00683689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:rsidR="00272C98" w:rsidRPr="00C04324" w:rsidRDefault="00272C98" w:rsidP="00683689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Oláh, Michal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;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practice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frequent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problems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practical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1st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ed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- Bratislava (Slovakia) : IRIS -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Publishing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Printing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, 2016. 398 s. ISBN 978-80-89726-58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129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25" w:anchor="Expl.OCA12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Typ výstupu (ak nie je výstup registrovaný v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) / Type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or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67 možností (pozri Vysvetlivky k položke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4A1" w:rsidRPr="00C04324" w:rsidRDefault="007224A1" w:rsidP="00C04324">
            <w:pPr>
              <w:pStyle w:val="Textpoznmkypodiarou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Monografia /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Monography</w:t>
            </w:r>
            <w:proofErr w:type="spellEnd"/>
          </w:p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11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OCA13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webpage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where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full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documentation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etc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C04324" w:rsidRDefault="007224A1" w:rsidP="00C04324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C04324">
              <w:rPr>
                <w:rFonts w:cstheme="minorHAnsi"/>
                <w:color w:val="000000" w:themeColor="text1"/>
                <w:sz w:val="16"/>
                <w:szCs w:val="16"/>
                <w:lang w:val="en-US" w:eastAsia="sk-SK"/>
              </w:rPr>
              <w:t>https://www.researchgate.net/publication/309293739_Nova_publikacia_pre_studentov_socialnej_prace_Socialna_praca_v_praxi_vyd_IRIS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76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OCA14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Charakteristika autorského vkladu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author's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4A1" w:rsidRPr="00C04324" w:rsidRDefault="007224A1" w:rsidP="00C04324">
            <w:pPr>
              <w:pStyle w:val="PredformtovanHTML"/>
              <w:shd w:val="clear" w:color="auto" w:fill="F8F9FA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podiel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autora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Oláh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683689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20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% / 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 xml:space="preserve"> Oláh </w:t>
            </w:r>
            <w:r w:rsidR="00683689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>20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>%</w:t>
            </w:r>
          </w:p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23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26" w:anchor="'poznamky_explanatory notes'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OCA15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Anotácia výstupu s kontextovými informáciami týkajúcimi sa opisu tvorivého procesu a obsahu tvorivej činnosti a pod.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Slovak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Kompendium Sociálna práca v praxi je ojedinelým počinom kolektívu významných odborníkov, ktorí svojimi teoretickými, praktickými a aplikačnými prínosmi pre rozvoj sociálnej práce budujú modernú vednú disciplínu v neľahkých podmienkach postmodernej spoločnosti. Tá prináša radu nových sociálnych fenoménov, ktoré sa mnohokrát riešia na parciálnej úrovni jednotlivých vedných disciplín a mnohokrát pre terminologickú, metodickú a metodologickú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vyhorenosť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vlastného aparátu nedokážu svoj vlastný odbor posunúť ďalej a preto stagnujú. Túto krízu etablovaných vied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sanuje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aplikovaná postmoderná sociálna práca.</w:t>
            </w:r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br/>
            </w:r>
            <w:r w:rsidRPr="00C04324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Uvedená monografia má snahu v ucelenom kontexte prezentovať témy, ktoré sa bytostne dotýkajú sociálnej práce ako odboru. Publikácia je prínosom nielen pre akademických pracovníkov, ale aj študentov sociálnej práce a mnoho iných odborov vrátane laickej verejnosti. Etabluje sociálnu prácu v kontextoch jednotlivých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subdisciplín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prezentovaných v samotných kapitolách práce. Komplexnosť a ucelenosť odbornej publikácie zaraďuje tento text medzi najaktuálnejšie a najmodernejšie počiny posledných rokov nielen na Slovensku, ale aj v medzinárodnom kontexte.</w:t>
            </w:r>
          </w:p>
          <w:p w:rsidR="00E23D51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  <w:p w:rsidR="00272C98" w:rsidRDefault="00272C9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  <w:p w:rsidR="00272C98" w:rsidRPr="00272C98" w:rsidRDefault="00272C98" w:rsidP="00272C98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Compendium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Practice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unique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achievement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team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eminent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experts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who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with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their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theoretical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practical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applied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contributions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development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building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modern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scientific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discipline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difficult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conditions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postmodern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society.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latter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brings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number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new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phenomena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which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often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dealt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with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partial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level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individual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scientific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disciplines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many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times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due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terminological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methodological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methodological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burnout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their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own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apparatus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they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unable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advance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their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own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field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therefore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stagnate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This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crisis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established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sciences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being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remedied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applied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postmodern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.</w:t>
            </w:r>
          </w:p>
          <w:p w:rsidR="00272C98" w:rsidRPr="00272C98" w:rsidRDefault="00272C98" w:rsidP="00272C98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  <w:p w:rsidR="00272C98" w:rsidRPr="00C04324" w:rsidRDefault="00272C98" w:rsidP="00272C98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This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monograph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seeks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present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coherent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context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themes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fundamentally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relevant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discipline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publication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benefit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only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academics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but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also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students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many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disciplines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including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general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establishes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contexts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various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sub-disciplines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presented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chapters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itself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comprehensiveness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comprehensiveness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professional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publication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places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this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text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among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up-to-date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modern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achievements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recent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years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only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Slovakia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but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also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international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context</w:t>
            </w:r>
            <w:proofErr w:type="spellEnd"/>
            <w:r w:rsidRPr="00272C9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.</w:t>
            </w:r>
            <w:bookmarkStart w:id="1" w:name="_GoBack"/>
            <w:bookmarkEnd w:id="1"/>
          </w:p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9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23D51" w:rsidRPr="00C04324" w:rsidRDefault="0098485C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27" w:anchor="'poznamky_explanatory notes'!A1" w:history="1"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OCA16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. Anotácia výstupu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4A1" w:rsidRPr="00C04324" w:rsidRDefault="007224A1" w:rsidP="00C04324">
            <w:pPr>
              <w:pStyle w:val="PredformtovanHTML"/>
              <w:shd w:val="clear" w:color="auto" w:fill="F8F9FA"/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Compendium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Practice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is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unique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achievement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 team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eminent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experts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who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with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their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theoretical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practical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applied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contributions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development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are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building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modern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scientific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discipline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difficult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conditions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postmodern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society.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latter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brings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number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new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phenomena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which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are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often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dealt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with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partial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level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individual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scientific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disciplines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many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times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due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terminological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methodological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methodological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burnout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their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own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apparatus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they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are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unable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advance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their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own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field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therefore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stagnate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This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crisis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established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sciences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is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being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remedied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by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applied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postmodern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  <w:p w:rsidR="007224A1" w:rsidRPr="00C04324" w:rsidRDefault="007224A1" w:rsidP="00C04324">
            <w:pPr>
              <w:pStyle w:val="PredformtovanHTML"/>
              <w:shd w:val="clear" w:color="auto" w:fill="F8F9FA"/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</w:pPr>
          </w:p>
          <w:p w:rsidR="00E23D51" w:rsidRPr="00C04324" w:rsidRDefault="007224A1" w:rsidP="00C04324">
            <w:pPr>
              <w:pStyle w:val="PredformtovanHTML"/>
              <w:shd w:val="clear" w:color="auto" w:fill="F8F9FA"/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This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monograph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seeks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present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in a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coherent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context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themes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are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fundamentally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relevant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discipline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publication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is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benefit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not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only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academics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but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students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many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other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disciplines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including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general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public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It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establishes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contexts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various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sub-disciplines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presented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chapters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itself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comprehensiveness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comprehensiveness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professional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publication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places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this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text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among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most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up-to-date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modern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achievements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of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recent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years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not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only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in Slovakia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but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international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context</w:t>
            </w:r>
            <w:proofErr w:type="spellEnd"/>
            <w:r w:rsidRPr="00C04324"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06" w:type="dxa"/>
            <w:vAlign w:val="center"/>
          </w:tcPr>
          <w:p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8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OCA17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Zoznam najviac 5 najvýznamnejších ohlasov na výstup  / List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significant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citations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corresponding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4A1" w:rsidRPr="00C04324" w:rsidRDefault="007224A1" w:rsidP="00C04324">
            <w:pPr>
              <w:pStyle w:val="Odsekzoznamu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NOVOSADOVÁ, Nikola. 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Resocializace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osob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s diagnózou drogové závislosti</w:t>
            </w:r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: Univerzita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Tomáše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Bati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Zlíně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, 2019, 113 s. Dostupné také z: http://hdl.handle.net/10563/44117. Univerzita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Tomáše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Bati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Zlíně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Fakulta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humanitních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studií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, Ústav pedagogických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věd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Vedoucí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Skarupská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, Helena.</w:t>
            </w:r>
          </w:p>
          <w:p w:rsidR="007224A1" w:rsidRPr="00C04324" w:rsidRDefault="007224A1" w:rsidP="00C04324">
            <w:pPr>
              <w:pStyle w:val="Odsekzoznamu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JAJCAYOVÁ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, Veronika. 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Příchod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dítěte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do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prostředí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ústavní výchovy</w:t>
            </w:r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: Univerzita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Tomáše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Bati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Zlíně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, 2019, 68 s. (128 518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znaků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). Dostupné také z: http://hdl.handle.net/10563/45046. Univerzita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Tomáše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Bati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Zlíně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Fakulta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humanitních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studií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, Ústav pedagogických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věd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Vedoucí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Blaštíková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, Lucie.</w:t>
            </w:r>
          </w:p>
          <w:p w:rsidR="007224A1" w:rsidRPr="00C04324" w:rsidRDefault="007224A1" w:rsidP="00C04324">
            <w:pPr>
              <w:pStyle w:val="Odsekzoznamu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NIKISCHEROVÁ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, Denisa. </w:t>
            </w:r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Osoba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zdravotním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postižením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v systému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sociálních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služeb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Vsetínsku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: Univerzita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Tomáše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Bati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Zlíně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, 2019, 87 s. Dostupné také z: http://hdl.handle.net/10563/44201. Univerzita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Tomáše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Bati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Zlíně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Fakulta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humanitních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studií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, Ústav pedagogických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věd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Vedoucí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 Hladík, Jakub.</w:t>
            </w:r>
          </w:p>
          <w:p w:rsidR="007224A1" w:rsidRPr="00C04324" w:rsidRDefault="007224A1" w:rsidP="00C04324">
            <w:pPr>
              <w:pStyle w:val="Odsekzoznamu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KUNCOVÁ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, Lenka. 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Slaďování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pracovního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a rodinného života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sociálních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pracovníků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zaměstnaných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státním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sektoru</w:t>
            </w:r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: Univerzita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Tomáše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Bati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Zlíně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, 2018, 70 s. (120 645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znaků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). Dostupné také z: http://hdl.handle.net/10563/43539. Univerzita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Tomáše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Bati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Zlíně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Fakulta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humanitních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studií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, Ústav pedagogických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věd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Vedoucí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Haburajová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Ilavská, Lenka.</w:t>
            </w:r>
          </w:p>
          <w:p w:rsidR="007224A1" w:rsidRPr="00C04324" w:rsidRDefault="007224A1" w:rsidP="00C04324">
            <w:pPr>
              <w:pStyle w:val="Odsekzoznamu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ŠVEHLÁKOVÁ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, Eliška. 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práce s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lidmi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s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duševním</w:t>
            </w:r>
            <w:proofErr w:type="spellEnd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onemocněním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: Univerzita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Tomáše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Bati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Zlíně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, 2018, 72 s. Dostupné také z: http://hdl.handle.net/10563/41834. Univerzita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Tomáše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Bati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Zlíně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Fakulta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humanitních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studií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, Ústav pedagogických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věd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Vedoucí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Elsner</w:t>
            </w:r>
            <w:proofErr w:type="spellEnd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, Lucia.</w:t>
            </w:r>
          </w:p>
        </w:tc>
        <w:tc>
          <w:tcPr>
            <w:tcW w:w="306" w:type="dxa"/>
            <w:vAlign w:val="center"/>
          </w:tcPr>
          <w:p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117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224A1" w:rsidRPr="006714EB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OCA18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Charakteristika dopadu výstupu na spoločensko-hospodársku prax /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output's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impact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socio-economic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practice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Slovak</w:t>
            </w:r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24A1" w:rsidRDefault="005F3057" w:rsidP="003B2A3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C25542">
              <w:rPr>
                <w:rFonts w:ascii="Calibri" w:hAnsi="Calibri" w:cs="Calibri"/>
                <w:sz w:val="16"/>
                <w:szCs w:val="16"/>
              </w:rPr>
              <w:t>Praktická sociálna práca popísaná v publikácií autormi s dlhoročnou praxou v spracovanej problematike má význam nielen pre študentov sociálnej práce a iných príbuzných odborov, ale aj iných profesionálov</w:t>
            </w:r>
            <w:r w:rsidR="00B3788B">
              <w:rPr>
                <w:rFonts w:ascii="Calibri" w:hAnsi="Calibri" w:cs="Calibri"/>
                <w:sz w:val="16"/>
                <w:szCs w:val="16"/>
              </w:rPr>
              <w:t xml:space="preserve"> z radov psychológov, pedagógov a iných pomáhajúcich profesií</w:t>
            </w:r>
            <w:r w:rsidRPr="00C25542">
              <w:rPr>
                <w:rFonts w:ascii="Calibri" w:hAnsi="Calibri" w:cs="Calibri"/>
                <w:sz w:val="16"/>
                <w:szCs w:val="16"/>
              </w:rPr>
              <w:t>, ktorí si chcú v overiť svoje pracovné postupy</w:t>
            </w:r>
            <w:r w:rsidR="00B3788B">
              <w:rPr>
                <w:rFonts w:ascii="Calibri" w:hAnsi="Calibri" w:cs="Calibri"/>
                <w:sz w:val="16"/>
                <w:szCs w:val="16"/>
              </w:rPr>
              <w:t xml:space="preserve"> v sociálnej pomoci</w:t>
            </w:r>
            <w:r w:rsidRPr="00C25542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="002302FD">
              <w:rPr>
                <w:rFonts w:ascii="Calibri" w:hAnsi="Calibri" w:cs="Calibri"/>
                <w:sz w:val="16"/>
                <w:szCs w:val="16"/>
              </w:rPr>
              <w:t>V jednotlivých kapitolách a podkapitolách majú čitatelia možnosť porovnať svoje skúsenosti s </w:t>
            </w:r>
            <w:r w:rsidR="00FA5A2F">
              <w:rPr>
                <w:rFonts w:ascii="Calibri" w:hAnsi="Calibri" w:cs="Calibri"/>
                <w:sz w:val="16"/>
                <w:szCs w:val="16"/>
              </w:rPr>
              <w:t>prácou</w:t>
            </w:r>
            <w:r w:rsidR="00153E28">
              <w:rPr>
                <w:rFonts w:ascii="Calibri" w:hAnsi="Calibri" w:cs="Calibri"/>
                <w:sz w:val="16"/>
                <w:szCs w:val="16"/>
              </w:rPr>
              <w:t xml:space="preserve"> výskumníkov a</w:t>
            </w:r>
            <w:r w:rsidR="00AB11E8">
              <w:rPr>
                <w:rFonts w:ascii="Calibri" w:hAnsi="Calibri" w:cs="Calibri"/>
                <w:sz w:val="16"/>
                <w:szCs w:val="16"/>
              </w:rPr>
              <w:t> </w:t>
            </w:r>
            <w:r w:rsidR="00153E28">
              <w:rPr>
                <w:rFonts w:ascii="Calibri" w:hAnsi="Calibri" w:cs="Calibri"/>
                <w:sz w:val="16"/>
                <w:szCs w:val="16"/>
              </w:rPr>
              <w:t>praktikov</w:t>
            </w:r>
            <w:r w:rsidR="00AB11E8">
              <w:rPr>
                <w:rFonts w:ascii="Calibri" w:hAnsi="Calibri" w:cs="Calibri"/>
                <w:sz w:val="16"/>
                <w:szCs w:val="16"/>
              </w:rPr>
              <w:t>.</w:t>
            </w:r>
            <w:r w:rsidR="001A79A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AB11E8">
              <w:rPr>
                <w:rFonts w:ascii="Calibri" w:hAnsi="Calibri" w:cs="Calibri"/>
                <w:sz w:val="16"/>
                <w:szCs w:val="16"/>
              </w:rPr>
              <w:t>K</w:t>
            </w:r>
            <w:r w:rsidR="00153E28">
              <w:rPr>
                <w:rFonts w:ascii="Calibri" w:hAnsi="Calibri" w:cs="Calibri"/>
                <w:sz w:val="16"/>
                <w:szCs w:val="16"/>
              </w:rPr>
              <w:t xml:space="preserve">aždá kapitola pozostáva z troch častí: teoretickej, praktickej </w:t>
            </w:r>
            <w:r w:rsidR="003B2A30">
              <w:rPr>
                <w:rFonts w:ascii="Calibri" w:hAnsi="Calibri" w:cs="Calibri"/>
                <w:sz w:val="16"/>
                <w:szCs w:val="16"/>
              </w:rPr>
              <w:t xml:space="preserve">doplnenej </w:t>
            </w:r>
            <w:r w:rsidR="00153E28">
              <w:rPr>
                <w:rFonts w:ascii="Calibri" w:hAnsi="Calibri" w:cs="Calibri"/>
                <w:sz w:val="16"/>
                <w:szCs w:val="16"/>
              </w:rPr>
              <w:t>prípadov</w:t>
            </w:r>
            <w:r w:rsidR="003B2A30">
              <w:rPr>
                <w:rFonts w:ascii="Calibri" w:hAnsi="Calibri" w:cs="Calibri"/>
                <w:sz w:val="16"/>
                <w:szCs w:val="16"/>
              </w:rPr>
              <w:t>ou</w:t>
            </w:r>
            <w:r w:rsidR="00153E28">
              <w:rPr>
                <w:rFonts w:ascii="Calibri" w:hAnsi="Calibri" w:cs="Calibri"/>
                <w:sz w:val="16"/>
                <w:szCs w:val="16"/>
              </w:rPr>
              <w:t xml:space="preserve"> štúdi</w:t>
            </w:r>
            <w:r w:rsidR="003B2A30">
              <w:rPr>
                <w:rFonts w:ascii="Calibri" w:hAnsi="Calibri" w:cs="Calibri"/>
                <w:sz w:val="16"/>
                <w:szCs w:val="16"/>
              </w:rPr>
              <w:t>ou</w:t>
            </w:r>
            <w:r w:rsidR="00153E28">
              <w:rPr>
                <w:rFonts w:ascii="Calibri" w:hAnsi="Calibri" w:cs="Calibri"/>
                <w:sz w:val="16"/>
                <w:szCs w:val="16"/>
              </w:rPr>
              <w:t>.</w:t>
            </w:r>
            <w:r w:rsidR="00AB11E8">
              <w:rPr>
                <w:rFonts w:ascii="Calibri" w:hAnsi="Calibri" w:cs="Calibri"/>
                <w:sz w:val="16"/>
                <w:szCs w:val="16"/>
              </w:rPr>
              <w:t xml:space="preserve"> Najmä v sociálnej </w:t>
            </w:r>
            <w:r w:rsidR="00FA5A2F">
              <w:rPr>
                <w:rFonts w:ascii="Calibri" w:hAnsi="Calibri" w:cs="Calibri"/>
                <w:sz w:val="16"/>
                <w:szCs w:val="16"/>
              </w:rPr>
              <w:t>práci, ktorej metódy sa neustále vyvíjajú</w:t>
            </w:r>
            <w:r w:rsidR="003B2A30">
              <w:rPr>
                <w:rFonts w:ascii="Calibri" w:hAnsi="Calibri" w:cs="Calibri"/>
                <w:sz w:val="16"/>
                <w:szCs w:val="16"/>
              </w:rPr>
              <w:t xml:space="preserve"> v reakcii na zmeny v spoločnosti</w:t>
            </w:r>
            <w:r w:rsidR="00FA5A2F">
              <w:rPr>
                <w:rFonts w:ascii="Calibri" w:hAnsi="Calibri" w:cs="Calibri"/>
                <w:sz w:val="16"/>
                <w:szCs w:val="16"/>
              </w:rPr>
              <w:t>, je potrebné</w:t>
            </w:r>
            <w:r w:rsidR="003B2A30">
              <w:rPr>
                <w:rFonts w:ascii="Calibri" w:hAnsi="Calibri" w:cs="Calibri"/>
                <w:sz w:val="16"/>
                <w:szCs w:val="16"/>
              </w:rPr>
              <w:t xml:space="preserve"> mať v rukách odbornú publikáciu, o ktorú sa môže čitateľ s dôverou oprieť. </w:t>
            </w:r>
            <w:r w:rsidR="00FA5A2F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AB11E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153E28">
              <w:rPr>
                <w:rFonts w:ascii="Calibri" w:hAnsi="Calibri" w:cs="Calibri"/>
                <w:sz w:val="16"/>
                <w:szCs w:val="16"/>
              </w:rPr>
              <w:t xml:space="preserve">  </w:t>
            </w:r>
          </w:p>
          <w:p w:rsidR="003B2A30" w:rsidRDefault="003B2A30" w:rsidP="003B2A3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  <w:p w:rsidR="003B2A30" w:rsidRPr="00C25542" w:rsidRDefault="003B2A30" w:rsidP="003B2A3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Practical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described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publication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by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authors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with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many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years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experience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treated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subject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is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importance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not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only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students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related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disciplines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but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also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professionals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from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ranks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psychologists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educators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helping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professions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who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want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to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verify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their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working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practices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assistance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. In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individual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chapters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subchapters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readers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have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opportunity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to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compare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their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experiences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with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researchers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practitioners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Each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chapter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consists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three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parts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theoretical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practical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supplemented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by a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case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study.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Particularly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whose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methods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are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constantly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evolving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response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to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changes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in society,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it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is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necessary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to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have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professional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publication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on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which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reader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can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rely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with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3B2A30">
              <w:rPr>
                <w:rFonts w:ascii="Calibri" w:hAnsi="Calibri" w:cs="Calibri"/>
                <w:sz w:val="16"/>
                <w:szCs w:val="16"/>
              </w:rPr>
              <w:t>confidence</w:t>
            </w:r>
            <w:proofErr w:type="spellEnd"/>
            <w:r w:rsidRPr="003B2A30">
              <w:rPr>
                <w:rFonts w:ascii="Calibri" w:hAnsi="Calibri" w:cs="Calibri"/>
                <w:sz w:val="16"/>
                <w:szCs w:val="16"/>
              </w:rPr>
              <w:t xml:space="preserve">.   </w:t>
            </w:r>
          </w:p>
        </w:tc>
        <w:tc>
          <w:tcPr>
            <w:tcW w:w="306" w:type="dxa"/>
            <w:vAlign w:val="center"/>
          </w:tcPr>
          <w:p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:rsidTr="00AE2E87">
        <w:trPr>
          <w:trHeight w:val="129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224A1" w:rsidRPr="006714EB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OCA19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Charakteristika dopadu výstupu a súvisiacich aktivít na vzdelávací proces /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of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related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impact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lastRenderedPageBreak/>
              <w:t>the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educational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process</w:t>
            </w:r>
            <w:proofErr w:type="spellEnd"/>
            <w:r w:rsidRPr="006714EB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Slovak</w:t>
            </w:r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714EB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56E2" w:rsidRDefault="00253BD7" w:rsidP="000356E2">
            <w:pPr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lastRenderedPageBreak/>
              <w:t>U</w:t>
            </w:r>
            <w:r w:rsidR="00874345" w:rsidRPr="00C25542">
              <w:rPr>
                <w:sz w:val="16"/>
              </w:rPr>
              <w:t xml:space="preserve">čebnica je určená študentom bakalárskych a magisterských študijných programov v oblasti sociálnej politiky a sociálnej práce, ale aj širokej odbornej a laickej verejnosti, </w:t>
            </w:r>
            <w:r w:rsidR="00B46845" w:rsidRPr="00C25542">
              <w:rPr>
                <w:sz w:val="16"/>
              </w:rPr>
              <w:t>ktorá má záujem poznať praktické metódy sociálnej práce</w:t>
            </w:r>
            <w:r w:rsidR="00874345" w:rsidRPr="00C25542">
              <w:rPr>
                <w:sz w:val="16"/>
              </w:rPr>
              <w:t>.</w:t>
            </w:r>
            <w:r>
              <w:rPr>
                <w:sz w:val="16"/>
              </w:rPr>
              <w:t xml:space="preserve"> Môže sa využiť nielen v ťažiskových predmetoch jadra študijného programu v odbore Sociálna práca (hlavne </w:t>
            </w:r>
            <w:r w:rsidR="006714EB">
              <w:rPr>
                <w:sz w:val="16"/>
              </w:rPr>
              <w:t>rôzne m</w:t>
            </w:r>
            <w:r>
              <w:rPr>
                <w:sz w:val="16"/>
              </w:rPr>
              <w:t xml:space="preserve">etódy sociálnej práce), ale aj pri predmetoch ako Sociálne poradenstvo, Odborná prax, </w:t>
            </w:r>
            <w:proofErr w:type="spellStart"/>
            <w:r>
              <w:rPr>
                <w:sz w:val="16"/>
              </w:rPr>
              <w:t>Kazuistika</w:t>
            </w:r>
            <w:proofErr w:type="spellEnd"/>
            <w:r>
              <w:rPr>
                <w:sz w:val="16"/>
              </w:rPr>
              <w:t xml:space="preserve"> v sociálnej práci alebo </w:t>
            </w:r>
            <w:r w:rsidR="006714EB">
              <w:rPr>
                <w:sz w:val="16"/>
              </w:rPr>
              <w:t>Odborná prax</w:t>
            </w:r>
            <w:r>
              <w:rPr>
                <w:sz w:val="16"/>
              </w:rPr>
              <w:t xml:space="preserve">. </w:t>
            </w:r>
            <w:r w:rsidR="006714EB">
              <w:rPr>
                <w:sz w:val="16"/>
              </w:rPr>
              <w:t xml:space="preserve">Publikácia sprevádza študenta počas celého </w:t>
            </w:r>
            <w:proofErr w:type="spellStart"/>
            <w:r w:rsidR="006714EB">
              <w:rPr>
                <w:sz w:val="16"/>
              </w:rPr>
              <w:t>pregraduálneho</w:t>
            </w:r>
            <w:proofErr w:type="spellEnd"/>
            <w:r w:rsidR="006714EB">
              <w:rPr>
                <w:sz w:val="16"/>
              </w:rPr>
              <w:t xml:space="preserve"> štúdia, je mu pomôckou v orientácií pri praktickej sociálnej práci pomáha mu oboznámiť sa so skúsenosťami iných sociálnych pracovníkov z rôznorodých oblastí sociálnej praxe. </w:t>
            </w:r>
            <w:r>
              <w:rPr>
                <w:sz w:val="16"/>
              </w:rPr>
              <w:t xml:space="preserve">  </w:t>
            </w:r>
          </w:p>
          <w:p w:rsidR="000356E2" w:rsidRDefault="000356E2" w:rsidP="000356E2">
            <w:pPr>
              <w:spacing w:after="0" w:line="240" w:lineRule="auto"/>
              <w:rPr>
                <w:sz w:val="16"/>
              </w:rPr>
            </w:pPr>
          </w:p>
          <w:p w:rsidR="006714EB" w:rsidRPr="006714EB" w:rsidRDefault="006714EB" w:rsidP="006714EB">
            <w:pPr>
              <w:spacing w:after="0" w:line="240" w:lineRule="auto"/>
              <w:rPr>
                <w:sz w:val="16"/>
              </w:rPr>
            </w:pPr>
            <w:proofErr w:type="spellStart"/>
            <w:r w:rsidRPr="006714EB">
              <w:rPr>
                <w:sz w:val="16"/>
              </w:rPr>
              <w:lastRenderedPageBreak/>
              <w:t>The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textbook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is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intended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for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students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of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bachelor</w:t>
            </w:r>
            <w:proofErr w:type="spellEnd"/>
            <w:r w:rsidRPr="006714EB">
              <w:rPr>
                <w:sz w:val="16"/>
              </w:rPr>
              <w:t xml:space="preserve"> and </w:t>
            </w:r>
            <w:proofErr w:type="spellStart"/>
            <w:r w:rsidRPr="006714EB">
              <w:rPr>
                <w:sz w:val="16"/>
              </w:rPr>
              <w:t>master</w:t>
            </w:r>
            <w:proofErr w:type="spellEnd"/>
            <w:r w:rsidRPr="006714EB">
              <w:rPr>
                <w:sz w:val="16"/>
              </w:rPr>
              <w:t xml:space="preserve"> study </w:t>
            </w:r>
            <w:proofErr w:type="spellStart"/>
            <w:r w:rsidRPr="006714EB">
              <w:rPr>
                <w:sz w:val="16"/>
              </w:rPr>
              <w:t>programmes</w:t>
            </w:r>
            <w:proofErr w:type="spellEnd"/>
            <w:r w:rsidRPr="006714EB">
              <w:rPr>
                <w:sz w:val="16"/>
              </w:rPr>
              <w:t xml:space="preserve"> in </w:t>
            </w:r>
            <w:proofErr w:type="spellStart"/>
            <w:r w:rsidRPr="006714EB">
              <w:rPr>
                <w:sz w:val="16"/>
              </w:rPr>
              <w:t>the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field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of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social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policy</w:t>
            </w:r>
            <w:proofErr w:type="spellEnd"/>
            <w:r w:rsidRPr="006714EB">
              <w:rPr>
                <w:sz w:val="16"/>
              </w:rPr>
              <w:t xml:space="preserve"> and </w:t>
            </w:r>
            <w:proofErr w:type="spellStart"/>
            <w:r w:rsidRPr="006714EB">
              <w:rPr>
                <w:sz w:val="16"/>
              </w:rPr>
              <w:t>social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work</w:t>
            </w:r>
            <w:proofErr w:type="spellEnd"/>
            <w:r w:rsidRPr="006714EB">
              <w:rPr>
                <w:sz w:val="16"/>
              </w:rPr>
              <w:t xml:space="preserve">, </w:t>
            </w:r>
            <w:proofErr w:type="spellStart"/>
            <w:r w:rsidRPr="006714EB">
              <w:rPr>
                <w:sz w:val="16"/>
              </w:rPr>
              <w:t>as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well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as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for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the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general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professional</w:t>
            </w:r>
            <w:proofErr w:type="spellEnd"/>
            <w:r w:rsidRPr="006714EB">
              <w:rPr>
                <w:sz w:val="16"/>
              </w:rPr>
              <w:t xml:space="preserve"> and </w:t>
            </w:r>
            <w:proofErr w:type="spellStart"/>
            <w:r w:rsidRPr="006714EB">
              <w:rPr>
                <w:sz w:val="16"/>
              </w:rPr>
              <w:t>lay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public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who</w:t>
            </w:r>
            <w:proofErr w:type="spellEnd"/>
            <w:r w:rsidRPr="006714EB">
              <w:rPr>
                <w:sz w:val="16"/>
              </w:rPr>
              <w:t xml:space="preserve"> are </w:t>
            </w:r>
            <w:proofErr w:type="spellStart"/>
            <w:r w:rsidRPr="006714EB">
              <w:rPr>
                <w:sz w:val="16"/>
              </w:rPr>
              <w:t>interested</w:t>
            </w:r>
            <w:proofErr w:type="spellEnd"/>
            <w:r w:rsidRPr="006714EB">
              <w:rPr>
                <w:sz w:val="16"/>
              </w:rPr>
              <w:t xml:space="preserve"> in </w:t>
            </w:r>
            <w:proofErr w:type="spellStart"/>
            <w:r w:rsidRPr="006714EB">
              <w:rPr>
                <w:sz w:val="16"/>
              </w:rPr>
              <w:t>learning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about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practical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methods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of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social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work</w:t>
            </w:r>
            <w:proofErr w:type="spellEnd"/>
            <w:r w:rsidRPr="006714EB">
              <w:rPr>
                <w:sz w:val="16"/>
              </w:rPr>
              <w:t xml:space="preserve">. </w:t>
            </w:r>
            <w:proofErr w:type="spellStart"/>
            <w:r w:rsidRPr="006714EB">
              <w:rPr>
                <w:sz w:val="16"/>
              </w:rPr>
              <w:t>It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can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be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used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not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only</w:t>
            </w:r>
            <w:proofErr w:type="spellEnd"/>
            <w:r w:rsidRPr="006714EB">
              <w:rPr>
                <w:sz w:val="16"/>
              </w:rPr>
              <w:t xml:space="preserve"> in </w:t>
            </w:r>
            <w:proofErr w:type="spellStart"/>
            <w:r w:rsidRPr="006714EB">
              <w:rPr>
                <w:sz w:val="16"/>
              </w:rPr>
              <w:t>the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core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courses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of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the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core</w:t>
            </w:r>
            <w:proofErr w:type="spellEnd"/>
            <w:r w:rsidRPr="006714EB">
              <w:rPr>
                <w:sz w:val="16"/>
              </w:rPr>
              <w:t xml:space="preserve"> curriculum in </w:t>
            </w:r>
            <w:proofErr w:type="spellStart"/>
            <w:r w:rsidRPr="006714EB">
              <w:rPr>
                <w:sz w:val="16"/>
              </w:rPr>
              <w:t>Social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Work</w:t>
            </w:r>
            <w:proofErr w:type="spellEnd"/>
            <w:r w:rsidRPr="006714EB">
              <w:rPr>
                <w:sz w:val="16"/>
              </w:rPr>
              <w:t xml:space="preserve"> (</w:t>
            </w:r>
            <w:proofErr w:type="spellStart"/>
            <w:r w:rsidRPr="006714EB">
              <w:rPr>
                <w:sz w:val="16"/>
              </w:rPr>
              <w:t>mainly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various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methods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of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social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work</w:t>
            </w:r>
            <w:proofErr w:type="spellEnd"/>
            <w:r w:rsidRPr="006714EB">
              <w:rPr>
                <w:sz w:val="16"/>
              </w:rPr>
              <w:t xml:space="preserve">), </w:t>
            </w:r>
            <w:proofErr w:type="spellStart"/>
            <w:r w:rsidRPr="006714EB">
              <w:rPr>
                <w:sz w:val="16"/>
              </w:rPr>
              <w:t>but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also</w:t>
            </w:r>
            <w:proofErr w:type="spellEnd"/>
            <w:r w:rsidRPr="006714EB">
              <w:rPr>
                <w:sz w:val="16"/>
              </w:rPr>
              <w:t xml:space="preserve"> in </w:t>
            </w:r>
            <w:proofErr w:type="spellStart"/>
            <w:r w:rsidRPr="006714EB">
              <w:rPr>
                <w:sz w:val="16"/>
              </w:rPr>
              <w:t>courses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such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as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Social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Counselling</w:t>
            </w:r>
            <w:proofErr w:type="spellEnd"/>
            <w:r w:rsidRPr="006714EB">
              <w:rPr>
                <w:sz w:val="16"/>
              </w:rPr>
              <w:t xml:space="preserve">, Professional </w:t>
            </w:r>
            <w:proofErr w:type="spellStart"/>
            <w:r w:rsidRPr="006714EB">
              <w:rPr>
                <w:sz w:val="16"/>
              </w:rPr>
              <w:t>Practice</w:t>
            </w:r>
            <w:proofErr w:type="spellEnd"/>
            <w:r w:rsidRPr="006714EB">
              <w:rPr>
                <w:sz w:val="16"/>
              </w:rPr>
              <w:t xml:space="preserve">, </w:t>
            </w:r>
            <w:proofErr w:type="spellStart"/>
            <w:r w:rsidRPr="006714EB">
              <w:rPr>
                <w:sz w:val="16"/>
              </w:rPr>
              <w:t>Case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Studies</w:t>
            </w:r>
            <w:proofErr w:type="spellEnd"/>
            <w:r w:rsidRPr="006714EB">
              <w:rPr>
                <w:sz w:val="16"/>
              </w:rPr>
              <w:t xml:space="preserve"> in </w:t>
            </w:r>
            <w:proofErr w:type="spellStart"/>
            <w:r w:rsidRPr="006714EB">
              <w:rPr>
                <w:sz w:val="16"/>
              </w:rPr>
              <w:t>Social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Work</w:t>
            </w:r>
            <w:proofErr w:type="spellEnd"/>
            <w:r w:rsidRPr="006714EB">
              <w:rPr>
                <w:sz w:val="16"/>
              </w:rPr>
              <w:t xml:space="preserve"> or Professional </w:t>
            </w:r>
            <w:proofErr w:type="spellStart"/>
            <w:r w:rsidRPr="006714EB">
              <w:rPr>
                <w:sz w:val="16"/>
              </w:rPr>
              <w:t>Practice</w:t>
            </w:r>
            <w:proofErr w:type="spellEnd"/>
            <w:r w:rsidRPr="006714EB">
              <w:rPr>
                <w:sz w:val="16"/>
              </w:rPr>
              <w:t xml:space="preserve">. </w:t>
            </w:r>
            <w:proofErr w:type="spellStart"/>
            <w:r w:rsidRPr="006714EB">
              <w:rPr>
                <w:sz w:val="16"/>
              </w:rPr>
              <w:t>The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publication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accompanies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the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student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throughout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his</w:t>
            </w:r>
            <w:proofErr w:type="spellEnd"/>
            <w:r w:rsidRPr="006714EB">
              <w:rPr>
                <w:sz w:val="16"/>
              </w:rPr>
              <w:t>/</w:t>
            </w:r>
            <w:proofErr w:type="spellStart"/>
            <w:r w:rsidRPr="006714EB">
              <w:rPr>
                <w:sz w:val="16"/>
              </w:rPr>
              <w:t>her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undergraduate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studies</w:t>
            </w:r>
            <w:proofErr w:type="spellEnd"/>
            <w:r w:rsidRPr="006714EB">
              <w:rPr>
                <w:sz w:val="16"/>
              </w:rPr>
              <w:t xml:space="preserve">, </w:t>
            </w:r>
            <w:proofErr w:type="spellStart"/>
            <w:r w:rsidRPr="006714EB">
              <w:rPr>
                <w:sz w:val="16"/>
              </w:rPr>
              <w:t>helps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him</w:t>
            </w:r>
            <w:proofErr w:type="spellEnd"/>
            <w:r w:rsidRPr="006714EB">
              <w:rPr>
                <w:sz w:val="16"/>
              </w:rPr>
              <w:t>/</w:t>
            </w:r>
            <w:proofErr w:type="spellStart"/>
            <w:r w:rsidRPr="006714EB">
              <w:rPr>
                <w:sz w:val="16"/>
              </w:rPr>
              <w:t>her</w:t>
            </w:r>
            <w:proofErr w:type="spellEnd"/>
            <w:r w:rsidRPr="006714EB">
              <w:rPr>
                <w:sz w:val="16"/>
              </w:rPr>
              <w:t xml:space="preserve"> to </w:t>
            </w:r>
            <w:proofErr w:type="spellStart"/>
            <w:r w:rsidRPr="006714EB">
              <w:rPr>
                <w:sz w:val="16"/>
              </w:rPr>
              <w:t>orientate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himself</w:t>
            </w:r>
            <w:proofErr w:type="spellEnd"/>
            <w:r w:rsidRPr="006714EB">
              <w:rPr>
                <w:sz w:val="16"/>
              </w:rPr>
              <w:t>/</w:t>
            </w:r>
            <w:proofErr w:type="spellStart"/>
            <w:r w:rsidRPr="006714EB">
              <w:rPr>
                <w:sz w:val="16"/>
              </w:rPr>
              <w:t>herself</w:t>
            </w:r>
            <w:proofErr w:type="spellEnd"/>
            <w:r w:rsidRPr="006714EB">
              <w:rPr>
                <w:sz w:val="16"/>
              </w:rPr>
              <w:t xml:space="preserve"> in </w:t>
            </w:r>
            <w:proofErr w:type="spellStart"/>
            <w:r w:rsidRPr="006714EB">
              <w:rPr>
                <w:sz w:val="16"/>
              </w:rPr>
              <w:t>practical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social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work</w:t>
            </w:r>
            <w:proofErr w:type="spellEnd"/>
            <w:r w:rsidRPr="006714EB">
              <w:rPr>
                <w:sz w:val="16"/>
              </w:rPr>
              <w:t xml:space="preserve">, and </w:t>
            </w:r>
            <w:proofErr w:type="spellStart"/>
            <w:r w:rsidRPr="006714EB">
              <w:rPr>
                <w:sz w:val="16"/>
              </w:rPr>
              <w:t>helps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him</w:t>
            </w:r>
            <w:proofErr w:type="spellEnd"/>
            <w:r w:rsidRPr="006714EB">
              <w:rPr>
                <w:sz w:val="16"/>
              </w:rPr>
              <w:t>/</w:t>
            </w:r>
            <w:proofErr w:type="spellStart"/>
            <w:r w:rsidRPr="006714EB">
              <w:rPr>
                <w:sz w:val="16"/>
              </w:rPr>
              <w:t>her</w:t>
            </w:r>
            <w:proofErr w:type="spellEnd"/>
            <w:r w:rsidRPr="006714EB">
              <w:rPr>
                <w:sz w:val="16"/>
              </w:rPr>
              <w:t xml:space="preserve"> to get </w:t>
            </w:r>
            <w:proofErr w:type="spellStart"/>
            <w:r w:rsidRPr="006714EB">
              <w:rPr>
                <w:sz w:val="16"/>
              </w:rPr>
              <w:t>acquainted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with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the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experience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of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other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social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workers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from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various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fields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of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social</w:t>
            </w:r>
            <w:proofErr w:type="spellEnd"/>
            <w:r w:rsidRPr="006714EB">
              <w:rPr>
                <w:sz w:val="16"/>
              </w:rPr>
              <w:t xml:space="preserve"> </w:t>
            </w:r>
            <w:proofErr w:type="spellStart"/>
            <w:r w:rsidRPr="006714EB">
              <w:rPr>
                <w:sz w:val="16"/>
              </w:rPr>
              <w:t>practice</w:t>
            </w:r>
            <w:proofErr w:type="spellEnd"/>
            <w:r w:rsidRPr="006714EB">
              <w:rPr>
                <w:sz w:val="16"/>
              </w:rPr>
              <w:t xml:space="preserve">.   </w:t>
            </w:r>
          </w:p>
          <w:p w:rsidR="00AC20C3" w:rsidRPr="00C04324" w:rsidRDefault="00AC20C3" w:rsidP="006714EB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</w:tbl>
    <w:p w:rsidR="00E23D51" w:rsidRPr="00C04324" w:rsidRDefault="00E23D51" w:rsidP="00C04324">
      <w:pPr>
        <w:spacing w:line="240" w:lineRule="auto"/>
        <w:rPr>
          <w:rFonts w:cstheme="minorHAnsi"/>
          <w:color w:val="000000" w:themeColor="text1"/>
          <w:sz w:val="16"/>
          <w:szCs w:val="16"/>
        </w:rPr>
      </w:pPr>
    </w:p>
    <w:sectPr w:rsidR="00E23D51" w:rsidRPr="00C043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85C" w:rsidRDefault="0098485C">
      <w:pPr>
        <w:spacing w:line="240" w:lineRule="auto"/>
      </w:pPr>
      <w:r>
        <w:separator/>
      </w:r>
    </w:p>
  </w:endnote>
  <w:endnote w:type="continuationSeparator" w:id="0">
    <w:p w:rsidR="0098485C" w:rsidRDefault="009848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85C" w:rsidRDefault="0098485C">
      <w:pPr>
        <w:spacing w:after="0"/>
      </w:pPr>
      <w:r>
        <w:separator/>
      </w:r>
    </w:p>
  </w:footnote>
  <w:footnote w:type="continuationSeparator" w:id="0">
    <w:p w:rsidR="0098485C" w:rsidRDefault="0098485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48F64A0A"/>
    <w:multiLevelType w:val="hybridMultilevel"/>
    <w:tmpl w:val="CAA0D3BE"/>
    <w:lvl w:ilvl="0" w:tplc="9D1CA68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9D4AB3"/>
    <w:multiLevelType w:val="hybridMultilevel"/>
    <w:tmpl w:val="631CA0D8"/>
    <w:lvl w:ilvl="0" w:tplc="1B1A2634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B7"/>
    <w:rsid w:val="000356E2"/>
    <w:rsid w:val="0007315E"/>
    <w:rsid w:val="00092CD9"/>
    <w:rsid w:val="000B2881"/>
    <w:rsid w:val="000D7327"/>
    <w:rsid w:val="00134CD8"/>
    <w:rsid w:val="00153E28"/>
    <w:rsid w:val="00190A9C"/>
    <w:rsid w:val="001A79A9"/>
    <w:rsid w:val="00200AF9"/>
    <w:rsid w:val="00211BB7"/>
    <w:rsid w:val="002302FD"/>
    <w:rsid w:val="00253BD7"/>
    <w:rsid w:val="00271844"/>
    <w:rsid w:val="00272C98"/>
    <w:rsid w:val="002912A3"/>
    <w:rsid w:val="002964B9"/>
    <w:rsid w:val="003B2A30"/>
    <w:rsid w:val="004263B2"/>
    <w:rsid w:val="004B6FA6"/>
    <w:rsid w:val="004C0ADE"/>
    <w:rsid w:val="00500C3F"/>
    <w:rsid w:val="0059396E"/>
    <w:rsid w:val="005F3057"/>
    <w:rsid w:val="006714EB"/>
    <w:rsid w:val="00683689"/>
    <w:rsid w:val="007224A1"/>
    <w:rsid w:val="0073261A"/>
    <w:rsid w:val="007C34BF"/>
    <w:rsid w:val="008107C8"/>
    <w:rsid w:val="00874345"/>
    <w:rsid w:val="00892621"/>
    <w:rsid w:val="008A22CD"/>
    <w:rsid w:val="00950673"/>
    <w:rsid w:val="0098485C"/>
    <w:rsid w:val="009F5FEA"/>
    <w:rsid w:val="00AB11E8"/>
    <w:rsid w:val="00AC20C3"/>
    <w:rsid w:val="00AE2E87"/>
    <w:rsid w:val="00B0336E"/>
    <w:rsid w:val="00B3788B"/>
    <w:rsid w:val="00B46845"/>
    <w:rsid w:val="00C04324"/>
    <w:rsid w:val="00C11D0B"/>
    <w:rsid w:val="00C25542"/>
    <w:rsid w:val="00C74DB5"/>
    <w:rsid w:val="00D55593"/>
    <w:rsid w:val="00E02A12"/>
    <w:rsid w:val="00E1037F"/>
    <w:rsid w:val="00E23D51"/>
    <w:rsid w:val="00E93968"/>
    <w:rsid w:val="00F627C1"/>
    <w:rsid w:val="00F907A9"/>
    <w:rsid w:val="00FA5A2F"/>
    <w:rsid w:val="00FA6129"/>
    <w:rsid w:val="00FE0D8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FNT ISO,Footnote Text Char,Voetnoottekst Char,Voetnoottekst Char Char1 Char,Voetnoottekst Char Char1 Char Char Char,Voetnoottekst Char1 Char,Voetnoottekst Char1 Char Char Char"/>
    <w:basedOn w:val="Normlny"/>
    <w:link w:val="TextpoznmkypodiarouChar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title-text">
    <w:name w:val="title-text"/>
    <w:basedOn w:val="Predvolenpsmoodseku"/>
    <w:rsid w:val="002912A3"/>
  </w:style>
  <w:style w:type="character" w:styleId="Zvraznenie">
    <w:name w:val="Emphasis"/>
    <w:basedOn w:val="Predvolenpsmoodseku"/>
    <w:uiPriority w:val="20"/>
    <w:qFormat/>
    <w:rsid w:val="00FA6129"/>
    <w:rPr>
      <w:i/>
      <w:iCs/>
    </w:rPr>
  </w:style>
  <w:style w:type="paragraph" w:styleId="Odsekzoznamu">
    <w:name w:val="List Paragraph"/>
    <w:basedOn w:val="Normlny"/>
    <w:uiPriority w:val="99"/>
    <w:rsid w:val="00FA6129"/>
    <w:pPr>
      <w:ind w:left="720"/>
      <w:contextualSpacing/>
    </w:pPr>
  </w:style>
  <w:style w:type="character" w:customStyle="1" w:styleId="TextpoznmkypodiarouChar">
    <w:name w:val="Text poznámky pod čiarou Char"/>
    <w:aliases w:val="FNT ISO Char,Footnote Text Char Char,Voetnoottekst Char Char,Voetnoottekst Char Char1 Char Char,Voetnoottekst Char Char1 Char Char Char Char,Voetnoottekst Char1 Char Char,Voetnoottekst Char1 Char Char Char Char"/>
    <w:link w:val="Textpoznmkypodiarou"/>
    <w:locked/>
    <w:rsid w:val="007224A1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FNT ISO,Footnote Text Char,Voetnoottekst Char,Voetnoottekst Char Char1 Char,Voetnoottekst Char Char1 Char Char Char,Voetnoottekst Char1 Char,Voetnoottekst Char1 Char Char Char"/>
    <w:basedOn w:val="Normlny"/>
    <w:link w:val="TextpoznmkypodiarouChar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title-text">
    <w:name w:val="title-text"/>
    <w:basedOn w:val="Predvolenpsmoodseku"/>
    <w:rsid w:val="002912A3"/>
  </w:style>
  <w:style w:type="character" w:styleId="Zvraznenie">
    <w:name w:val="Emphasis"/>
    <w:basedOn w:val="Predvolenpsmoodseku"/>
    <w:uiPriority w:val="20"/>
    <w:qFormat/>
    <w:rsid w:val="00FA6129"/>
    <w:rPr>
      <w:i/>
      <w:iCs/>
    </w:rPr>
  </w:style>
  <w:style w:type="paragraph" w:styleId="Odsekzoznamu">
    <w:name w:val="List Paragraph"/>
    <w:basedOn w:val="Normlny"/>
    <w:uiPriority w:val="99"/>
    <w:rsid w:val="00FA6129"/>
    <w:pPr>
      <w:ind w:left="720"/>
      <w:contextualSpacing/>
    </w:pPr>
  </w:style>
  <w:style w:type="character" w:customStyle="1" w:styleId="TextpoznmkypodiarouChar">
    <w:name w:val="Text poznámky pod čiarou Char"/>
    <w:aliases w:val="FNT ISO Char,Footnote Text Char Char,Voetnoottekst Char Char,Voetnoottekst Char Char1 Char Char,Voetnoottekst Char Char1 Char Char Char Char,Voetnoottekst Char1 Char Char,Voetnoottekst Char1 Char Char Char Char"/>
    <w:link w:val="Textpoznmkypodiarou"/>
    <w:locked/>
    <w:rsid w:val="007224A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26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https://publons.com/researcher/1810998/michal-olah/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orcid.org/0000-0002-7245-5843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https://sciprofiles.com/profile/MichalOlah1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s://scholar.google.com/citations?hl=sk&amp;view_op=list_works&amp;gmla=AJsN-F7hLrLDr58gFRGqgTejXh0IE1ME4Moa9hI8om4wrjpmXtwic8zHOKYiejkBwTFG2T9pkgYdpFOGiVoisdo1goFS0yzSH1Pln3JfdBfFYAODzQUCJJ1adTmrPB-gQWjVqg8kDqk0&amp;user=KeyQu4QAAAAJ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sclib.svkk.sk/sck01/Record/000530505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https://www.scopus.com/authid/detail.uri?authorId=57203766220" TargetMode="External"/><Relationship Id="rId27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2447</Words>
  <Characters>13952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</cp:lastModifiedBy>
  <cp:revision>12</cp:revision>
  <dcterms:created xsi:type="dcterms:W3CDTF">2022-05-30T06:58:00Z</dcterms:created>
  <dcterms:modified xsi:type="dcterms:W3CDTF">2022-05-30T17:29:00Z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